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新疆10m水体悬浮物浓度数据集（2022年4-10月）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33110.11.XIEG.xjsedata.2022.00000111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本数据采用2022年4-10月哨兵2号光学卫星数据为数据源，采样随机森林回归（RFR）方法构建新疆湖泊悬浮物浓度遥感估算模型。数据为CGCS2000坐标系阿伯斯投影，精度为10米。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采用2022年4-10月哨兵2号光学卫星数据为数据源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 2 A/B MSI。从欧空局哥白尼数据开放中心获取L1C数据。采用欧空局提供的SEN2COR算法进行大气校正。但是SEN2COR为陆地大气校正算法，需要针对进一步去除天空光、太阳耀斑和残余气溶胶散射的影响。采样随机森林回归（RFR）方法构建水质参数模型。通过调整输入算法的最佳输入变量，各算法最优超参数通过格网化搜索方法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利用大量野外调查和星地同步数据进行模型研究，结果表明RFR悬浮物浓度算法精度较高，不确定性为（ϵ）为24.29%，偏差（β）为6.77%，斜率为0.90，均方根对数误差为0.219。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水体悬浮物浓度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50.20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新疆10m水体悬浮物浓度数据集（2022年4-10月）. 干旱区生态与资源科学数据中心(https://data.dcxjegi.cn), 2025. https://cstr.cn/CSTR:33110.11.XIEG.xjsedata.2022.00000111.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