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塔拉斯河谷土地水资源、河流水文特性与灌溉系统取水枢纽登记册第二部分： 河流水文特性、灌溉系统取水枢纽登记册与现状及其经济特性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Register of land and water resources, river hydrological characteristics and irrigation system water intake hubs in the Talas River Valley Part 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10.12389/ariddc.02283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33110.11.ariddc.02283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本研究报告由两部分组成： 第一部分：“灌溉土地与灌溉系统的土地水资源及改良状况”。 第二部分：“塔拉斯河谷灌溉系统河流上已建取水枢纽的水文特征、概况与现状及其经济特征”。 本研究材料旨在供各级农业和水利组织机构、研究所、农工综合体领域企业的领导人和专家在实践活动中使用。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作者（编委会）：Г.В.索博林（д.т.н. Г.В.Соболин）В.А.涅杰利金娜（В.А.Неделькина）Г.К.济巴钦斯卡娅（Г.К.Зибачинская） 出版社：Киргизвкий научно-исследовательский институт экономики агропрома 出版地：伏龙芝 出版年：1990年 页数：168页 语种：俄文 馆藏条形码：XJLAS RU 70011115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塔拉斯河谷土地水资源、河流水文特性与灌溉系统取水枢纽登记册第二部分：河流水文特性、灌溉系统取水枢纽登记册与现状及其经济特性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对收集到的《塔拉斯河谷土地水资源、河流水文特性与灌溉系统取水枢纽登记册第二部分：河流水文特性、灌溉系统取水枢纽登记册与现状及其经济特性》进行电子化加工处理，按照国家标准《GB/T 31219.2-2014图书馆馆藏资源数字化加工规范》要求，未改动删减《塔拉斯河谷土地水资源、河流水文特性与灌溉系统取水枢纽登记册第二部分：河流水文特性、灌溉系统取水枢纽登记册与现状及其经济特性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集中控制, 取水枢纽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水利工程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吉尔吉斯苏维埃社会主义共和国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塔拉斯河谷土地水资源、河流水文特性与灌溉系统取水枢纽登记册第二部分： 河流水文特性、灌溉系统取水枢纽登记册与现状及其经济特性. 干旱区生态与资源科学数据中心(https://data.dcxjegi.cn), 2026. https://cstr.cn/CSTR:33110.11.ariddc.02283.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