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7年吉尔吉斯斯坦第四纪沉积层孔隙水贮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第四纪沉积层孔隙水贮量与动态贮水量两类核心指标。第四纪沉积层孔隙水贮量包含楚—塔拉斯、伊塞克湖斯基、纳伦斯基、阿克奥—阿尔贫斯基等9个水文地质区和24个自流水流域。动态贮水量包含楚河、塔拉斯河、伊塞克湖等27个主要地下水流域，。两类指标共同反映了孔隙水资源的空间分布特征，高值区多集中在大型河流流域及盆地，而山区及边缘地带贮量相对有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孔隙水贮量,  第四纪沉积层,  动态贮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2007年吉尔吉斯斯坦第四纪沉积层孔隙水贮量. 干旱区生态与资源科学数据中心(https://data.dcxjegi.cn), 2025. https://cstr.cn/CSTR:33110.11.ariddc.00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