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2007年吉尔吉斯斯坦第四纪沉积层孔隙水贮量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第四纪沉积层孔隙水贮量与动态贮水量两类核心指标。第四纪沉积层孔隙水贮量包含楚—塔拉斯、伊塞克湖斯基、纳伦斯基、阿克奥—阿尔贫斯基等9个水文地质区和24个自流水流域。动态贮水量包含楚河、塔拉斯河、伊塞克湖等27个主要地下水流域，。两类指标共同反映了孔隙水资源的空间分布特征，高值区多集中在大型河流流域及盆地，而山区及边缘地带贮量相对有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孔隙水贮量,  动态贮水量,  第四纪沉积层</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2007年吉尔吉斯斯坦第四纪沉积层孔隙水贮量. 干旱区生态与资源科学数据中心(https://data.dcxjegi.cn), 2025. https://cstr.cn/CSTR:33110.11.ariddc.00610.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