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第四纪沉积层孔隙水贮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第四纪沉积层孔隙水贮量与动态贮水量两类核心指标。第四纪沉积层孔隙水贮量包含楚—塔拉斯、伊塞克湖斯基、纳伦斯基、阿克奥—阿尔贫斯基等9个水文地质区和24个自流水流域。动态贮水量包含楚河、塔拉斯河、伊塞克湖等27个主要地下水流域，。两类指标共同反映了孔隙水资源的空间分布特征，高值区多集中在大型河流流域及盆地，而山区及边缘地带贮量相对有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孔隙水贮量,  第四纪沉积层,  动态贮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第四纪沉积层孔隙水贮量. 干旱区生态与资源科学数据中心(https://data.dcxjegi.cn), 2025. https://cstr.cn/CSTR:33110.11.ariddc.006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