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苏联河流径流量及其波动与自然地理因素影响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本专著由列宁格勒大学地理系水文教研室团队完成，系统分析了苏联全境河流的年均径流量空间分布规律及其自然地理驱动机制。研究涵盖三大核心内容： 1. 气候、地形等自然要素对径流形成的定量影响（特别论证了径流系数与降水-蒸发平衡的关系）； 2. 苏联11个地理分区（欧洲平原、中亚、远东等）的径流特征比较； 3. 年际径流变异性的区域模式及其与气候振荡的关联。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К. 达维多夫（Л. К. Давыдов） 出版社：Гидрометеоиздат 出版地：列宁格勒 出版年：1947年 页数：161页 语种：俄文 馆藏条形码：XJLASRU70026175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31219.2-2014图书馆馆藏资源数字化加工规范》，完全遵照《苏联河流径流量及其波动与自然地理因素影响》的数据信息，未改动删减。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对收集到的《苏联河流径流量及其波动与自然地理因素影响》进行电子化加工处理，按照国家标准《GB/T 31219.2-2014图书馆馆藏资源数字化加工规范》要求，未改动删减《苏联河流径流量及其波动与自然地理因素影响》的数据信息，数据质量可靠。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水文,  径流,  自然地理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苏联河流径流量及其波动与自然地理因素影响. 干旱区生态与资源科学数据中心(https://data.dcxjegi.cn), 2025. https://cstr.cn/CSTR:33110.11.ariddc.01111.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