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苏联河流径流量及其波动与自然地理因素影响</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本专著由列宁格勒大学地理系水文教研室团队完成，系统分析了苏联全境河流的年均径流量空间分布规律及其自然地理驱动机制。研究涵盖三大核心内容： 1. 气候、地形等自然要素对径流形成的定量影响（特别论证了径流系数与降水-蒸发平衡的关系）； 2. 苏联11个地理分区（欧洲平原、中亚、远东等）的径流特征比较； 3. 年际径流变异性的区域模式及其与气候振荡的关联。</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К. 达维多夫（Л. К. Давыдов） 出版社：Гидрометеоиздат 出版地：列宁格勒 出版年：1947年 页数：161页 语种：俄文 馆藏条形码：XJLASRU70026175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31219.2-2014图书馆馆藏资源数字化加工规范》，完全遵照《苏联河流径流量及其波动与自然地理因素影响》的数据信息，未改动删减。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对收集到的《苏联河流径流量及其波动与自然地理因素影响》进行电子化加工处理，按照国家标准《GB/T 31219.2-2014图书馆馆藏资源数字化加工规范》要求，未改动删减《苏联河流径流量及其波动与自然地理因素影响》的数据信息，数据质量可靠。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自然地理,  径流,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苏联河流径流量及其波动与自然地理因素影响. 干旱区生态与资源科学数据中心(https://data.dcxjegi.cn), 2025. https://cstr.cn/CSTR:33110.11.ariddc.01111.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