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珍稀植物与新物种发现，记录了哈萨克斯坦北部及天山地区的21种特有植物（如 Oxytropis kirgisensis、Astragalus brevicarinus），分析其地理分布与分类地位，首次报道土库曼植物园引种的 137 种木本植物在干旱条件下的根系适应性。新发现真菌物种 Pleospora incarvilleae和Urocystis oxygraphidis，并描述其与宿主植物的互作机制。第二部分涉及植物系统分类学修订，对葱属（Allium）、黄芪属（Astragalus）等类群进行系统学整理，确认 Silene tianschanica 等新种的有效性。通过染色体分析（如 Picea schrenkiana）探讨中亚山地植物遗传多样性，提出基于分子标记的种群鉴别方法。第三部分研究真菌生态学，描述地衣和酵母菌的形态特征与生态分布，发现其在极端环境下的生存策略。通过对小麦叶斑病菌的实验，揭示酸性条件对真菌孢子萌发率的影响（提升 30%），为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79年 页数：123页 语种：俄语 分类号：UDC 581.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分类, 植物多样性,  干旱区真菌生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1卷. 干旱区生态与资源科学数据中心(https://data.dcxjegi.cn), 2025. https://cstr.cn/CSTR:33110.11.ariddc.009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