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中亚突出生态问题评估报告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关于中亚哈萨克斯坦、乌兹别克斯坦、塔吉克斯坦、吉尔吉斯斯坦和土库曼斯坦五国的跨界水污染、山地生态系统的退化、生产和生活废物处理、土地退化和空气污染共5个部分的评估报告。 中亚的水文网络并不统一。不均匀。锡尔河流域的年均河流流量资源约为 38.8 立方公里。 锡尔河流域年均河流流量资源约为 38.8 千立方米约为 38.8 千立方米。同时，平均每年28.0 千立方米（72.2%），而吉尔吉斯斯坦的年均河流流量为 28.0 千立方米（72.2%）。 乌兹别克斯坦--5.59（14.4），哈萨克斯坦--4.08 (10.5），塔吉克斯坦为每年 1.1 千立方米（0.3%）。 阿姆河流域年均径流资源量阿姆河流域的年均径流量超过 78 千立方（0.3%）。 每年 78 千立方米 其中 62.9 km3 (超过 80%）形成于塔吉克斯坦境内其中 62.9 千立方米（超过 80%）在塔吉克斯坦境内形成，乌兹别克斯坦占 4.7 千立方米。乌兹别克斯坦占 4.7 km3(6%). 几乎所有的河流资源都来自舒河（楚河）、塔拉斯河和阿萨河，共计 4.1 立方公里（图 3）。在吉尔吉斯斯坦境内形成（3.1 千立方米），共计 4.1 千立方米。在吉尔吉斯斯坦境内（3.1 千立方米)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2006年联合国环境规划署和土库曼斯坦联合出版。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生态问题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土库曼斯坦,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中亚突出生态问题评估报告. 干旱区生态与资源科学数据中心(https://data.dcxjegi.cn), 2025. https://cstr.cn/CSTR:33110.11.ariddc.00291.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