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中亚突出生态问题评估报告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关于中亚哈萨克斯坦、乌兹别克斯坦、塔吉克斯坦、吉尔吉斯斯坦和土库曼斯坦五国的跨界水污染、山地生态系统的退化、生产和生活废物处理、土地退化和空气污染共5个部分的评估报告。 中亚的水文网络并不统一。不均匀。锡尔河流域的年均河流流量资源约为 38.8 立方公里。 锡尔河流域年均河流流量资源约为 38.8 千立方米约为 38.8 千立方米。同时，平均每年28.0 千立方米（72.2%），而吉尔吉斯斯坦的年均河流流量为 28.0 千立方米（72.2%）。 乌兹别克斯坦--5.59（14.4），哈萨克斯坦--4.08 (10.5），塔吉克斯坦为每年 1.1 千立方米（0.3%）。 阿姆河流域年均径流资源量阿姆河流域的年均径流量超过 78 千立方（0.3%）。 每年 78 千立方米 其中 62.9 km3 (超过 80%）形成于塔吉克斯坦境内其中 62.9 千立方米（超过 80%）在塔吉克斯坦境内形成，乌兹别克斯坦占 4.7 千立方米。乌兹别克斯坦占 4.7 km3(6%). 几乎所有的河流资源都来自舒河（楚河）、塔拉斯河和阿萨河，共计 4.1 立方公里（图 3）。在吉尔吉斯斯坦境内形成（3.1 千立方米），共计 4.1 千立方米。在吉尔吉斯斯坦境内（3.1 千立方米)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2006年联合国环境规划署和土库曼斯坦联合出版。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生态问题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中亚突出生态问题评估报告. 干旱区生态与资源科学数据中心(https://data.dcxjegi.cn), 2025. https://cstr.cn/CSTR:33110.11.ariddc.00291.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