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中亚1:25万湖泊与河流分布数据（2010年）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反映的是2010年中亚五国范围内的湖泊和河流水系分布情况，数据共有15358个河流湖泊面状矢量，属性表中包含所用TM数据源信息、湖泊或河流的面积、长度、中心点坐标等；投影坐标为GCS_WGS_1984，比例尺1：25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2006、2007、2009和2010年每年丰水期7月、8月、9月、10月的TM遥感数据。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利用ENVI、eCognition软件，通过选取对水体反映强烈的绿波段和近红外波段进行叠加计算，水体提取公式：TM2+TM3-TM4-TM5，在生成的矢量层下叠加TM数据，通过人工干预修正，生产最后的数据产品。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数据采集按照矢量化标准执行，严格按照TM数据进行修正。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2006/09/06-2010/10/31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1：25万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 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乌兹别克斯坦,   吉尔吉斯斯坦,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中亚1:25万湖泊与河流分布数据（2010年）. 干旱区生态与资源科学数据中心(https://data.dcxjegi.cn), 2025. https://cstr.cn/CSTR:33110.11.ariddc.00333.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