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 108 种木本植物在干旱条件下的根系形态与抗旱机制。新发现真菌物种 Pleospora incarvilleae 和 Urocystis oxygraphidis，并揭示其与宿主植物的共生关系。第二部分围绕植物系统分类学与细胞学研究，对葱属（Allium）、黄芪属（Astragalus）等类群进行核型分析，确认Gagea neo-popovii等新种的有效性。通过染色体计数，探讨中亚山地植物遗传多样性与地理隔离的关联，提出基于分子标记的种群鉴别方法。第三部分研究真菌与地衣生态，描述地衣和酵母菌的形态特征，分析酸性环境对小麦叶斑病菌孢子萌发率的影响（提升 25%）。此外，对盘菌纲和伞菌纲的代表物种进行解剖学观察，揭示其细胞结构与极端环境适应的相关性。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出版年：1971年 页数：102页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31219.2-2014图书馆馆藏资源数字化加工规范》要求，未改动删减《植物研究所植物标本馆资料 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第7卷. 干旱区生态与资源科学数据中心(https://data.dcxjegi.cn), 2025. https://cstr.cn/CSTR:33110.11.ariddc.00957.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