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、锡尔河、咸海等河流跨流域水资源及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姆河、锡尔河、咸海流域、楚、塔拉斯、卡尔卡拉河河川多年平均天然径流量；1970、1980、2000年楚河流域、塔拉斯河流域各国的引水量和灌溉面积； 阿姆河流域、锡尔河流域各国的1980年实际和1995年远景灌溉面积、引水限额；楚河流域各共和国在生长期4-9月份河生长期外9-3月份，以及全年的分水情况咸海流域覆盖的每个国家的总面积、适合于加工的面积、适合于灌溉的面积、实际灌溉面积河开发程度；中亚五国和咸海流域的全经济部门人均需水量、公用给水人均量、每公顷灌溉需水量，以及人均灌溉比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专著《Водные ресурсы Кыргызстана на современном этапе》（吉国水资源现状） 2007出版，由吉尔吉斯斯坦国立水文研究所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数字化扫描，OCR识别、人工核对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内容未做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蓄水量, 径流量,  灌溉面积,  引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80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咸海,   塔拉斯河,   卡尔卡拉河,   楚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、锡尔河、咸海等河流跨流域水资源及利用数据. 干旱区生态与资源科学数据中心(https://data.dcxjegi.cn), 2025. https://cstr.cn/CSTR:33110.11.ariddc.004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