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、锡尔河、咸海等河流跨流域水资源及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姆河、锡尔河、咸海流域、楚、塔拉斯、卡尔卡拉河河川多年平均天然径流量；1970、1980、2000年楚河流域、塔拉斯河流域各国的引水量和灌溉面积； 阿姆河流域、锡尔河流域各国的1980年实际和1995年远景灌溉面积、引水限额；楚河流域各共和国在生长期4-9月份河生长期外9-3月份，以及全年的分水情况咸海流域覆盖的每个国家的总面积、适合于加工的面积、适合于灌溉的面积、实际灌溉面积河开发程度；中亚五国和咸海流域的全经济部门人均需水量、公用给水人均量、每公顷灌溉需水量，以及人均灌溉比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专著《Водные ресурсы Кыргызстана на современном этапе》（吉国水资源现状） 2007出版，由吉尔吉斯斯坦国立水文研究所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数字化扫描，OCR识别、人工核对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内容未做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蓄水量, 径流量,  灌溉面积,  引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8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咸海,   塔拉斯河,   卡尔卡拉河,   楚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、锡尔河、咸海等河流跨流域水资源及利用数据. 干旱区生态与资源科学数据中心(https://data.dcxjegi.cn), 2025. https://cstr.cn/CSTR:33110.11.ariddc.00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