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题图集系统反映了截至2007年前后（以1930s–2006年为主要时间跨度）乌兹别克斯坦的自然生态环境与资源状况，涵盖地理、地质、水文、气候、生态、灾害及人文等多个主题。图集基于多源空间数据与长期观测记录，整合了联合国教科文组织（UNESCO）框架下的研究成果，全面呈现了该国的地形地貌、地质构造、水系与地下水动态、土壤与植被分布、荒漠化与盐碱化过程、冰川变化、地震与泥石流风险、气候变化特征（降水与气温）、空气污染与城市化影响，以及生物多样性保护格局（重要鸟类栖息地、自然保护区与生态系统区划）等内容，构成了一套多尺度、多主题、时空结合的国家生态环境综合图谱。详细介绍请参考“数据内容描述”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  生物多样性,  城市化, 地形地貌,  荒漠化,  气候变化,  盐碱化,  泥石流,  地质构造,  土壤,  水系,  植被,  空气污染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乌兹别克斯坦生态图集.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