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乌兹别克斯坦生态图集</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专题图集系统反映了截至2007年前后（以1930s–2006年为主要时间跨度）乌兹别克斯坦的自然生态环境与资源状况，涵盖地理、地质、水文、气候、生态、灾害及人文等多个主题。图集基于多源空间数据与长期观测记录，整合了联合国教科文组织（UNESCO）框架下的研究成果，全面呈现了该国的地形地貌、地质构造、水系与地下水动态、土壤与植被分布、荒漠化与盐碱化过程、冰川变化、地震与泥石流风险、气候变化特征（降水与气温）、空气污染与城市化影响，以及生物多样性保护格局（重要鸟类栖息地、自然保护区与生态系统区划）等内容，构成了一套多尺度、多主题、时空结合的国家生态环境综合图谱。详细介绍请参考“数据内容描述”文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地形地貌,  地质构造,  水系,  土壤,  植被,  荒漠化,  盐碱化,  冰川,  泥石流,  气候变化,  空气污染,  城市化,  生物多样性</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1930-2007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乌兹别克斯坦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乌兹别克斯坦生态图集.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