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Hydroclimatic conditions in dry and humid years in forests, grasslands and grassland areas of the Soviet Union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10.12389/ariddc.01935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33110.11.ariddc.01935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contains many research papers on the hydrological and climatic characteristics of dry and humid years. The content covers plant water consumption, the relationship between evaporation deficit and drought, snow cover, soil freezing and thawing, spring soil water storage, radiation balance, atmospheric circulation conditions and precipitation characteristics. The study area covers forests, grasslands and grassland areas in the European part of the Soviet Union, as well as raw and recreational areas in North Kazakhstan and the Altai Krai. This book can be used as a reference for researchers in climatology, hydrology, agricultural meteorology and related fields.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BB.Л. Zeldzeevsky (.Л.Дзердзеевский） Published by: 丨 зд а т ельс тво А к а д еми наук С С С С С СР Published: Moscow Publication year: 1960 Pages: 169 pages Language: Russian Collection barcode: XJLAS RU 70003602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"Hydrological and Climatic Conditions in Drought and Humid Years of Forests, Grassland and Grassland Areas of the Soviet Union"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"Hydrological and Climatic Conditions in Drought and Humid Years of Forests, Grasslands and Grassland Areas of the Soviet Union" were electronically processed and processed. In accordance with the requirements of the national standard "GB/T 31219.2-2014 Specifications for Digital Processing of Library Collection Resources", the data information of "Hydrological and Climatic Conditions in Drought and Humid Years of Forests, Grassland and Grassland Areas of the Soviet Union"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time:2025/10/29-2025/10/29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size:14.0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Theme:Agrometeorological, Soil, Climate, Hydrological, Snow-covered, Drought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Hydroclimatic conditions in dry and humid years in forests, grasslands and grassland areas of the Soviet Union. Arid Land Ecology and Resources Science Data Center(https://data.dcxjegi.cn), 2026. https://cstr.cn/CSTR:33110.11.ariddc.01935.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