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第九卷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分类与检索，详细描述了被子植物门、裸子植物门等类群的形态特征，涵盖茄科、玄参科、唇形科等重要科属（如茄属、婆婆纳属），提供了分属分种检索表，并附237幅原创插图辅助鉴定。第二部分为生态分布与区系分析，基于1951-1960年野外调查数据，揭示了植物在荒漠草原、山地森林、盐碱地等不同生态区的分布规律，重点讨论了干旱区特有物种（如盐生植物、旱生草本）的适应性特征及与环境的相互作用。第三部分为经济与应用价值，评估了药用植物（如甘草、麻黄）、食用植物（如野生浆果）和生态保护物种（如濒危草本）的资源状况，提出了珍稀物种保护建议及可持续利用策略。全文整合了分类学、生态学与资源学数据，为中亚植物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В. Павлов 出版社：哈萨克斯坦科学院出版社 出版地：阿拉木图 出版年：1966年 页数：659页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第九卷》的数据信息，未改动删减。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第九卷》的数据信息，数据质量可靠。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植物志,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第九卷. 干旱区生态与资源科学数据中心(https://data.dcxjegi.cn), 2025. https://cstr.cn/CSTR:33110.11.ariddc.01008.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