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aspects of sustainable use of natural resource potential in the Republic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paper discusses key issues in the protection of water and soil resources, focusing on analyzing the mechanism of hydraulic and wind erosion under different natural conditions, and proposes practical solutions for river regulation and soil erosion protection.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④.Н. KrivobokovaН.Кривобокова) Published by: 丨 нст и тут гео г ра п и т т г А А т н с т и т т р а с т т н с т и т у с с т и т у т у т г е о г р а п р а т и т и т у т и т у т е о г р а п р а т и т и т а т а т и т а т и т а т а т и т и т т а р а р а т а р а т Published: Almaty Publication year: 2005 Pages: 303 pages Language: Russian Classification number: ISBN 9965-482-41-1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Library Collection Resources Digital Processing Specifications", fully complying with the data information of "Geographical Issues for the Sustainable Utilization of Natural Resources Potential in the Republic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"Geographical Issues on the Sustainable Utilization of the Potential of Natural Resources in the Republic of Kazakhstan" were electronically processed and processed. In accordance with the requirements of the national standard "GB/T 31219.2-2014 Specifications for the Digital Processing of Library Collection Resources","The data information of the" Geographical Issues on the Sustainable Utilization of the Potential of Natural Resources in the Republic of Kazakhstan "was not changed and deleted.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aspects of sustainable use of natural resource potential in the Republic of Kazakhstan. Arid Land Ecology and Resources Science Data Center(https://data.dcxjegi.cn), 2026. https://cstr.cn/CSTR:33110.11.ariddc.02193.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