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新疆10m水体透明度数据集（2021年4-10月）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本数据采用2021年4-10月哨兵2号光学卫星数据为数据源，采样随机森林回归（RFR）方法构建新疆湖泊水体透明度遥感估算模型。数据为CGCS2000坐标系阿伯斯投影，精度为10米。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采用2021年4-10月哨兵2号光学卫星数据为数据源。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使用具有较好辐射性能的Sentinle 2 A/B MSI。从欧空局哥白尼数据开放中心获取L1C数据。采用欧空局提供的SEN2COR算法进行大气校正。但是SEN2COR为陆地大气校正算法，需要针对进一步去除天空光、太阳耀斑和残余气溶胶散射的影响。采样随机森林回归（RFR）方法构建水质参数模型。通过调整输入算法的最佳输入变量，各算法最优超参数通过格网化搜索方法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利用大量野外调查和星地同步数据进行模型研究，结果表明RFR透明度算法精度较高，不确定性为（ϵ）为11.24%，偏差（β）为2.37%，斜率为0.97，均方根对数误差为0.119。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水体透明度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49.89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段洪涛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段洪涛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刘铁,段洪涛. 新疆10m水体透明度数据集（2021年4-10月）. 干旱区生态与资源科学数据中心(https://data.dcxjegi.cn), 2025. https://cstr.cn/CSTR:33110.11.XIEG.xjsedata.2022.00000108.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