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新疆MODIS_1km_8天合成地表蒸散产品（2000-2010年）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蒸散产品16A2分幅数据为数据源，数据分辩率为1KM，8天合成，利用ENVI软件平台，进行数据拼接、投影转换、边界裁切等影像处理，生成2000-2010年新疆地表蒸散产品数据空间分辨率1000米，时间分辨率8天，投影采用椭球体正弦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2000年-2010年MODIS的地表蒸散产品16A2分幅数据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数据拼接，选取新疆范围内的2000年-2010年MODIS的地表蒸散产品16A2分幅数据 2. 投影转换，投影转换为WGS84投影 3. 边界裁切，以新疆行政区界线合并生成中亚地区边界矢量文件，用于裁切MODIS数据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地表蒸散发, 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新疆MODIS_1km_8天合成地表蒸散产品（2000-2010年）. 干旱区生态与资源科学数据中心(https://data.dcxjegi.cn), 2025. https://cstr.cn/CSTR:33110.11.ariddc.00561.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