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2019年咸海流域种植结构矢量数据集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本数据集包括2019年咸海流域的阿姆河和锡尔河子流域的Kashkadarya, Zarafshan, Suekhandarya,Bukhara, Naryn, Kazalinskiy, Qyzylorda, South Kazashstan, Zhanakorganskiy共9个灌区的种植结构矢量数据，空间分辨率为10m×10m，时间分辨率为年，Kappa系数0.8。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2019年哨兵2号数据。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2019年分为三个时间段，将每个时间段内云量最少，质量最高的哨兵2号数据拼接为一张完整地图，得到咸海流域三期哨兵2号遥感影像，并求出三期影像的NDVI值，再结合得到的耕地数据和实地采样数据，用随机森林算法对其分类，最终得到每个地块上的种植结构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空间分辨率为10m×10m，时间分辨率为年，Kappa系数0.8。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种植结构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钱静,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钱静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钱静,刘铁. 2019年咸海流域种植结构矢量数据集. 干旱区生态与资源科学数据中心(https://data.dcxjegi.cn), 2025. https://cstr.cn/CSTR:33110.11.ariddc.00314.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