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2019年咸海流域种植结构矢量数据集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本数据集包括2019年咸海流域的阿姆河和锡尔河子流域的Kashkadarya, Zarafshan, Suekhandarya,Bukhara, Naryn, Kazalinskiy, Qyzylorda, South Kazashstan, Zhanakorganskiy共9个灌区的种植结构矢量数据，空间分辨率为10m×10m，时间分辨率为年，Kappa系数0.8。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2019年分为三个时间段，将每个时间段内云量最少，质量最高的哨兵2号数据拼接为一张完整地图，得到咸海流域三期哨兵2号遥感影像，并求出三期影像的NDVI值，再结合得到的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钱静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 2019年咸海流域种植结构矢量数据集. 干旱区生态与资源科学数据中心(https://data.dcxjegi.cn), 2025. https://cstr.cn/CSTR:33110.11.ariddc.00314.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