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10.12389/ariddc.01089</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33110.11.ariddc.01089</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 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Category:</w:t>
      </w:r>
      <w:r>
        <w:rPr>
          <w:rFonts w:ascii="Times New Roman" w:hAnsi="Times New Roman" w:hint="eastAsia"/>
          <w:sz w:val="24"/>
          <w:szCs w:val="24"/>
          <w:lang w:eastAsia="zh-CN"/>
        </w:rPr>
        <w:t xml:space="preserve">LiteratureBook</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 time:2025/05/08-2025/05/08</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 place:</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size:38.1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Coordinate system: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Projection</w:t>
      </w:r>
      <w:r>
        <w:rPr>
          <w:rFonts w:ascii="Times New Roman" w:hAnsi="Times New Roman"/>
          <w:sz w:val="24"/>
          <w:szCs w:val="24"/>
          <w:lang w:eastAsia="zh-CN"/>
        </w:rPr>
        <w:t xml:space="preserve">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Theme:agricultural geography, lakes, hydrological</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Subject:geography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Time:1959</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Place:Kazakhstan,  Central Asia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contacts:None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contributors:Documentation Information Center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author:Documentation Information Center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manager:Documentation Information Center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name:</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In order to protect the rights and interests of the platform's scientific and technological resources, expand the services of the platform center, and enhance the application potential of scientific and technological resources,resource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r w:rsidR="0046133D">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Documentation Information Center. Geographical Problems in Kazakhstan (Series 5). Arid Land Ecology and Resources Science Data Center(https://data.dcxjegi.cn), 2025. https://cstr.cn/CSTR:33110.11.ariddc.01089.</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