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流动沙丘固定原则与方法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荒漠化问题的组成部分之一是与流动沙丘作斗争。流动沙丘掩埋灌溉地和旱地、居民点、渠道、铁路和公路及建筑物，给居民造成巨大损失并扰乱生产秩序。 根据联合国环境规划署（UNEP）的数据，全球受荒漠化影响的土地总面积为4830万平方公里（占陆地面积的36.3%）。 世界上的沙质荒漠面积——即流动沙丘的源头——约占真正荒漠总面积1401万平方公里的三分之一到二分之一。 在苏联，沙地面积约100万平方公里，即超过其领土面积的4%。流动沙丘占沙地总面积的12-15%。仅土库曼苏维埃社会主义共和国的沙地面积就约为25.7万平方公里，其中流动和半流动沙丘为4万平方公里。这些沙地包括吉利库姆、滨海沙地、外乌兹博伊东北边缘、亚斯汗地块、穆尔加布河沿岸沙地的个别地段等。流动沙丘在乌兹别克斯坦、哈萨克斯坦和伏尔加河下游也有分布。 沙质荒漠中的流动沙丘通常被认为是风成作用的结果，由风速大、降水量少、植被稀疏以及疏松的第四纪沉积物广泛分布所决定。沙质荒漠景观的脆弱性和不稳定性是其典型特征。流动沙丘是动态的地形形态，其移动取决于主导风的风向和风力以及粒度组成。 目前，当对荒漠自然财富进行密集的工业和农业开发开始时，在许多地区观察到这一过程动态平衡的破坏，沙子的吹蚀开始超过植被固定和发展过程。固定的地形形态被典型的流动形态所取代。随着时间的推移，具有相对发达的植被覆盖（固定着沙地和砂壤土表层）的荒漠、半荒漠和干旱草原的原始景观逐渐转变为流动沙丘景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作者（编委会）：А.Г.巴巴耶夫（А.Г. Бабаев） 出版社：Центр международных проектов ГКНТ 出版地：莫斯科 出版年：1986年 页数：150页 语种：俄文 馆藏条形码：65004 RB 1000724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31219.2-2014图书馆馆藏资源数字化加工规范》，完全遵照《流动沙丘固定原则与方法》的数据信息，未改动删减。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对收集到的《流动沙丘固定原则与方法》进行电子化加工处理，按照国家标准《GB/T 31219.2-2014图书馆馆藏资源数字化加工规范》要求，未改动删减《流动沙丘固定原则与方法》的数据信息，数据质量可靠。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2025/10/31-2025/10/31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半荒漠,  干旱草原,  景观,  沙质荒漠, 沙丘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流动沙丘固定原则与方法. 干旱区生态与资源科学数据中心(https://data.dcxjegi.cn), 2026. https://cstr.cn/CSTR:33110.11.ariddc.01955.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