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物志 第四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：第一部分介绍了本专著的背景和主要内容。本卷为该系列的收官之作，涵盖了最后一批被子植物的资料，并特别附有各类植物科属的鉴定表和经济植物的标注，突出了本卷的科学价值与实用意义。同时，本卷还首次记录了一些新发现的植物种类。第二部分是对各类植物科属的系统整理与详细描述。本部分收录了498种植物，涵盖伞形科、锦葵科、芸香科等具有重要经济价值的科目，并按拉丁学名、形态特征及分布情况进行了规范分类。部分分类采用了创新性的属种处理方式，展示了本卷在植物分类学上的深入研究。第三部分为附录和索引，包括系统分类索引、植物名录及各属种的编号整理，便于查阅和科研引用。此外，对部分植物的形态学特征进行了图文说明，提升了文献的可读性与实用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A. I. Vvedensky 出版社：哈萨克苏维埃社会主义共和国科学院出版社 出版地：阿拉木图 出版年：1958年 页数：51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物志 第四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物志 第四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植物, 植物分类,  植物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物志 第四卷. 干旱区生态与资源科学数据中心(https://data.dcxjegi.cn), 2025. https://cstr.cn/CSTR:33110.11.ariddc.009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