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乌兹别克斯坦植物志 第四卷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：第一部分介绍了本专著的背景和主要内容。本卷为该系列的收官之作，涵盖了最后一批被子植物的资料，并特别附有各类植物科属的鉴定表和经济植物的标注，突出了本卷的科学价值与实用意义。同时，本卷还首次记录了一些新发现的植物种类。第二部分是对各类植物科属的系统整理与详细描述。本部分收录了498种植物，涵盖伞形科、锦葵科、芸香科等具有重要经济价值的科目，并按拉丁学名、形态特征及分布情况进行了规范分类。部分分类采用了创新性的属种处理方式，展示了本卷在植物分类学上的深入研究。第三部分为附录和索引，包括系统分类索引、植物名录及各属种的编号整理，便于查阅和科研引用。此外，对部分植物的形态学特征进行了图文说明，提升了文献的可读性与实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作者（编委会）：A. I. Vvedensky 出版社：哈萨克苏维埃社会主义共和国科学院出版社 出版地：阿拉木图 出版年：1958年 页数：515页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31219.2-2014图书馆馆藏资源数字化加工规范》，完全遵照《乌兹别克斯坦植物志 第四卷》的数据信息，未改动删减。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31219.2-2014图书馆馆藏资源数字化加工规范》要求，未改动删减《乌兹别克斯坦植物志 第四卷》的数据信息，数据质量可靠。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经济植物, 植物分类,  植物志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乌兹别克斯坦植物志 第四卷. 干旱区生态与资源科学数据中心(https://data.dcxjegi.cn), 2025. https://cstr.cn/CSTR:33110.11.ariddc.00953.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